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ED759" w14:textId="77777777" w:rsidR="001D1372" w:rsidRDefault="001D1372" w:rsidP="009B4E45">
      <w:pPr>
        <w:jc w:val="both"/>
        <w:outlineLvl w:val="0"/>
        <w:rPr>
          <w:rFonts w:ascii="Calibri" w:eastAsia="Calibri" w:hAnsi="Calibri" w:cs="Arial"/>
          <w:b/>
          <w:sz w:val="28"/>
          <w:szCs w:val="28"/>
          <w:lang w:eastAsia="en-US"/>
        </w:rPr>
      </w:pPr>
    </w:p>
    <w:p w14:paraId="4A981812"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w:t>
      </w:r>
      <w:r w:rsidR="00572827">
        <w:rPr>
          <w:rFonts w:ascii="Calibri" w:eastAsia="Calibri" w:hAnsi="Calibri" w:cs="Arial"/>
          <w:b/>
          <w:sz w:val="28"/>
          <w:szCs w:val="28"/>
          <w:lang w:eastAsia="en-US"/>
        </w:rPr>
        <w:t xml:space="preserve">kupní smlouvy </w:t>
      </w:r>
      <w:r w:rsidRPr="00C52FD4">
        <w:rPr>
          <w:rFonts w:ascii="Calibri" w:eastAsia="Calibri" w:hAnsi="Calibri" w:cs="Arial"/>
          <w:b/>
          <w:sz w:val="28"/>
          <w:szCs w:val="28"/>
          <w:lang w:eastAsia="en-US"/>
        </w:rPr>
        <w:t xml:space="preserve">č. 2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572827">
        <w:rPr>
          <w:rFonts w:ascii="Calibri" w:eastAsia="Calibri" w:hAnsi="Calibri" w:cs="Arial"/>
          <w:b/>
          <w:sz w:val="28"/>
          <w:szCs w:val="28"/>
          <w:lang w:eastAsia="en-US"/>
        </w:rPr>
        <w:t>Specifikace zboží</w:t>
      </w:r>
    </w:p>
    <w:p w14:paraId="47E040DB" w14:textId="77777777" w:rsidR="00074528" w:rsidRDefault="00074528" w:rsidP="009B4E45">
      <w:pPr>
        <w:jc w:val="both"/>
        <w:outlineLvl w:val="0"/>
        <w:rPr>
          <w:rFonts w:ascii="Calibri" w:eastAsia="Calibri" w:hAnsi="Calibri" w:cs="Arial"/>
          <w:b/>
          <w:sz w:val="28"/>
          <w:szCs w:val="28"/>
          <w:lang w:eastAsia="en-US"/>
        </w:rPr>
      </w:pPr>
    </w:p>
    <w:p w14:paraId="0124F4FE"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1D7692D" w14:textId="77777777" w:rsidR="007A449A" w:rsidRDefault="007A449A" w:rsidP="00615802">
      <w:pPr>
        <w:jc w:val="both"/>
        <w:outlineLvl w:val="0"/>
        <w:rPr>
          <w:rFonts w:ascii="Calibri" w:eastAsia="Calibri" w:hAnsi="Calibri" w:cs="Arial"/>
          <w:b/>
          <w:sz w:val="28"/>
          <w:szCs w:val="28"/>
          <w:lang w:eastAsia="en-US"/>
        </w:rPr>
      </w:pPr>
    </w:p>
    <w:p w14:paraId="3FEA9FF7"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707AA0C" w14:textId="12BAE6F7" w:rsidR="007A449A" w:rsidRPr="00F16700" w:rsidRDefault="0078082D"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Kanyly tracheální a tracheostomické 2</w:t>
      </w:r>
    </w:p>
    <w:p w14:paraId="6C135B62" w14:textId="77777777" w:rsidR="007A449A" w:rsidRPr="00393D63" w:rsidRDefault="007A449A" w:rsidP="007A449A">
      <w:pPr>
        <w:jc w:val="both"/>
        <w:rPr>
          <w:rFonts w:asciiTheme="minorHAnsi" w:hAnsiTheme="minorHAnsi" w:cs="Arial"/>
          <w:b/>
          <w:bCs/>
          <w:sz w:val="24"/>
        </w:rPr>
      </w:pPr>
    </w:p>
    <w:p w14:paraId="3DA5B450"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90348B1"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2E0869CC" w14:textId="77777777" w:rsidR="007A449A" w:rsidRPr="00C52FD4" w:rsidRDefault="007A449A" w:rsidP="007A449A">
      <w:pPr>
        <w:pStyle w:val="Zkladntext2"/>
        <w:rPr>
          <w:rFonts w:ascii="Calibri" w:hAnsi="Calibri" w:cs="Arial"/>
          <w:sz w:val="22"/>
          <w:szCs w:val="22"/>
        </w:rPr>
      </w:pPr>
    </w:p>
    <w:p w14:paraId="13CF7321"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8807F6C" w14:textId="77777777" w:rsidR="002D6426" w:rsidRDefault="002D6426" w:rsidP="002D6426">
      <w:pPr>
        <w:pStyle w:val="Nadpis2"/>
        <w:ind w:left="284"/>
        <w:rPr>
          <w:sz w:val="28"/>
          <w:szCs w:val="28"/>
        </w:rPr>
      </w:pPr>
    </w:p>
    <w:p w14:paraId="1E1D37A6" w14:textId="235C1100" w:rsidR="007A449A" w:rsidRPr="00761203" w:rsidRDefault="007A449A" w:rsidP="00761203">
      <w:pPr>
        <w:pStyle w:val="Nadpis2"/>
        <w:ind w:left="284"/>
        <w:rPr>
          <w:sz w:val="28"/>
          <w:szCs w:val="28"/>
        </w:rPr>
      </w:pPr>
      <w:r w:rsidRPr="00EE1E0E">
        <w:rPr>
          <w:sz w:val="28"/>
          <w:szCs w:val="28"/>
        </w:rPr>
        <w:t xml:space="preserve">Technické požadavky </w:t>
      </w:r>
    </w:p>
    <w:p w14:paraId="61EC9539"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39D336F2" w14:textId="77777777" w:rsidTr="00580937">
        <w:trPr>
          <w:gridAfter w:val="1"/>
          <w:wAfter w:w="6" w:type="dxa"/>
          <w:trHeight w:val="387"/>
        </w:trPr>
        <w:tc>
          <w:tcPr>
            <w:tcW w:w="4536" w:type="dxa"/>
            <w:shd w:val="clear" w:color="auto" w:fill="BDD6EE" w:themeFill="accent1" w:themeFillTint="66"/>
            <w:vAlign w:val="center"/>
          </w:tcPr>
          <w:p w14:paraId="4C259535"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58D9E280"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78082D" w:rsidRPr="0078082D">
              <w:rPr>
                <w:rFonts w:asciiTheme="minorHAnsi" w:hAnsiTheme="minorHAnsi"/>
                <w:b/>
                <w:sz w:val="24"/>
              </w:rPr>
              <w:t>Kanyla tracheostomická s manžetou, sání nad manžetou</w:t>
            </w:r>
          </w:p>
        </w:tc>
      </w:tr>
      <w:tr w:rsidR="007A449A" w:rsidRPr="00654188" w14:paraId="05ABB334" w14:textId="77777777" w:rsidTr="00580937">
        <w:trPr>
          <w:gridAfter w:val="1"/>
          <w:wAfter w:w="6" w:type="dxa"/>
        </w:trPr>
        <w:tc>
          <w:tcPr>
            <w:tcW w:w="4536" w:type="dxa"/>
            <w:shd w:val="clear" w:color="auto" w:fill="F7CAAC" w:themeFill="accent2" w:themeFillTint="66"/>
          </w:tcPr>
          <w:p w14:paraId="76EFB1B6"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4817E1D"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6D0070F"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15D69F8C" w14:textId="77777777" w:rsidTr="00580937">
        <w:tc>
          <w:tcPr>
            <w:tcW w:w="4536" w:type="dxa"/>
          </w:tcPr>
          <w:p w14:paraId="270682D2" w14:textId="77777777" w:rsidR="007A449A" w:rsidRPr="0078082D" w:rsidRDefault="0078082D" w:rsidP="00580937">
            <w:pPr>
              <w:rPr>
                <w:rFonts w:asciiTheme="majorHAnsi" w:hAnsiTheme="majorHAnsi" w:cs="Arial"/>
                <w:bCs/>
                <w:sz w:val="24"/>
                <w:u w:val="single"/>
              </w:rPr>
            </w:pPr>
            <w:r w:rsidRPr="0078082D">
              <w:rPr>
                <w:rFonts w:asciiTheme="minorHAnsi" w:hAnsiTheme="minorHAnsi"/>
                <w:b/>
                <w:sz w:val="24"/>
                <w:u w:val="single"/>
              </w:rPr>
              <w:t>Kanyla tracheostomická s manžetou, sání nad manžetou</w:t>
            </w:r>
          </w:p>
        </w:tc>
        <w:tc>
          <w:tcPr>
            <w:tcW w:w="1276" w:type="dxa"/>
            <w:vAlign w:val="center"/>
          </w:tcPr>
          <w:p w14:paraId="3FD57D3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319965"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A451E28" w14:textId="77777777" w:rsidTr="00580937">
        <w:tc>
          <w:tcPr>
            <w:tcW w:w="4536" w:type="dxa"/>
          </w:tcPr>
          <w:p w14:paraId="2EAB51F4" w14:textId="1E04EDAA" w:rsidR="007A449A" w:rsidRPr="0078082D" w:rsidRDefault="0078082D" w:rsidP="00761203">
            <w:pPr>
              <w:tabs>
                <w:tab w:val="left" w:pos="851"/>
              </w:tabs>
              <w:spacing w:before="120" w:line="276" w:lineRule="auto"/>
              <w:jc w:val="both"/>
              <w:rPr>
                <w:rFonts w:ascii="Calibri" w:hAnsi="Calibri" w:cs="Calibri"/>
                <w:sz w:val="22"/>
                <w:szCs w:val="22"/>
              </w:rPr>
            </w:pPr>
            <w:r w:rsidRPr="0078082D">
              <w:rPr>
                <w:rFonts w:ascii="Calibri" w:hAnsi="Calibri" w:cs="Calibri"/>
                <w:sz w:val="22"/>
                <w:szCs w:val="22"/>
              </w:rPr>
              <w:t xml:space="preserve">transparentní, netoxický, </w:t>
            </w:r>
            <w:proofErr w:type="spellStart"/>
            <w:r w:rsidRPr="0078082D">
              <w:rPr>
                <w:rFonts w:ascii="Calibri" w:hAnsi="Calibri" w:cs="Calibri"/>
                <w:sz w:val="22"/>
                <w:szCs w:val="22"/>
              </w:rPr>
              <w:t>thermosensitivní</w:t>
            </w:r>
            <w:proofErr w:type="spellEnd"/>
            <w:r w:rsidRPr="0078082D">
              <w:rPr>
                <w:rFonts w:ascii="Calibri" w:hAnsi="Calibri" w:cs="Calibri"/>
                <w:sz w:val="22"/>
                <w:szCs w:val="22"/>
              </w:rPr>
              <w:t xml:space="preserve"> materiál</w:t>
            </w:r>
          </w:p>
        </w:tc>
        <w:tc>
          <w:tcPr>
            <w:tcW w:w="1276" w:type="dxa"/>
            <w:vAlign w:val="center"/>
          </w:tcPr>
          <w:p w14:paraId="7D73BCF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24C92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8C2B0B9" w14:textId="77777777" w:rsidTr="00580937">
        <w:tc>
          <w:tcPr>
            <w:tcW w:w="4536" w:type="dxa"/>
          </w:tcPr>
          <w:p w14:paraId="320FE67E" w14:textId="3E1E633B" w:rsidR="007A449A" w:rsidRPr="0078082D" w:rsidRDefault="0078082D" w:rsidP="00761203">
            <w:pPr>
              <w:tabs>
                <w:tab w:val="left" w:pos="851"/>
              </w:tabs>
              <w:spacing w:line="276" w:lineRule="auto"/>
              <w:jc w:val="both"/>
              <w:rPr>
                <w:rFonts w:ascii="Calibri" w:hAnsi="Calibri" w:cs="Calibri"/>
                <w:sz w:val="22"/>
                <w:szCs w:val="22"/>
              </w:rPr>
            </w:pPr>
            <w:proofErr w:type="spellStart"/>
            <w:r w:rsidRPr="0078082D">
              <w:rPr>
                <w:rFonts w:ascii="Calibri" w:hAnsi="Calibri" w:cs="Calibri"/>
                <w:sz w:val="22"/>
                <w:szCs w:val="22"/>
              </w:rPr>
              <w:t>rentgenokontrastní</w:t>
            </w:r>
            <w:proofErr w:type="spellEnd"/>
            <w:r w:rsidRPr="0078082D">
              <w:rPr>
                <w:rFonts w:ascii="Calibri" w:hAnsi="Calibri" w:cs="Calibri"/>
                <w:sz w:val="22"/>
                <w:szCs w:val="22"/>
              </w:rPr>
              <w:t xml:space="preserve"> proužek po celé délce kanyly</w:t>
            </w:r>
          </w:p>
        </w:tc>
        <w:tc>
          <w:tcPr>
            <w:tcW w:w="1276" w:type="dxa"/>
            <w:vAlign w:val="center"/>
          </w:tcPr>
          <w:p w14:paraId="270A40FF"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F6C4C9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75F4FC46" w14:textId="77777777" w:rsidTr="00580937">
        <w:tc>
          <w:tcPr>
            <w:tcW w:w="4536" w:type="dxa"/>
          </w:tcPr>
          <w:p w14:paraId="6337D370" w14:textId="2ED1AB6C"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hladké tělo kanyly pro minimalizaci usazení nečistot</w:t>
            </w:r>
          </w:p>
        </w:tc>
        <w:tc>
          <w:tcPr>
            <w:tcW w:w="1276" w:type="dxa"/>
            <w:vAlign w:val="center"/>
          </w:tcPr>
          <w:p w14:paraId="6FB7591C"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7E276D0"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A514486" w14:textId="77777777" w:rsidTr="00580937">
        <w:tc>
          <w:tcPr>
            <w:tcW w:w="4536" w:type="dxa"/>
          </w:tcPr>
          <w:p w14:paraId="6F287798" w14:textId="3CAA11AC"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úhel zahnutí 105°</w:t>
            </w:r>
          </w:p>
        </w:tc>
        <w:tc>
          <w:tcPr>
            <w:tcW w:w="1276" w:type="dxa"/>
            <w:vAlign w:val="center"/>
          </w:tcPr>
          <w:p w14:paraId="7E80E7A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44893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1DF851EF" w14:textId="77777777" w:rsidTr="00580937">
        <w:tc>
          <w:tcPr>
            <w:tcW w:w="4536" w:type="dxa"/>
          </w:tcPr>
          <w:p w14:paraId="29B37070" w14:textId="6374B93E"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měkký kulatý hrot</w:t>
            </w:r>
          </w:p>
        </w:tc>
        <w:tc>
          <w:tcPr>
            <w:tcW w:w="1276" w:type="dxa"/>
            <w:vAlign w:val="center"/>
          </w:tcPr>
          <w:p w14:paraId="63ED345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FD6AD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1B54358" w14:textId="77777777" w:rsidTr="00580937">
        <w:tc>
          <w:tcPr>
            <w:tcW w:w="4536" w:type="dxa"/>
          </w:tcPr>
          <w:p w14:paraId="7E75F634" w14:textId="0FF35D7D"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informace o velikosti kanyly</w:t>
            </w:r>
          </w:p>
        </w:tc>
        <w:tc>
          <w:tcPr>
            <w:tcW w:w="1276" w:type="dxa"/>
            <w:vAlign w:val="center"/>
          </w:tcPr>
          <w:p w14:paraId="0E732CB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86494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0C8CC02" w14:textId="77777777" w:rsidTr="00580937">
        <w:tc>
          <w:tcPr>
            <w:tcW w:w="4536" w:type="dxa"/>
          </w:tcPr>
          <w:p w14:paraId="725BF4F2" w14:textId="06562F59"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nízkotlaká, velkoobjemová manžeta pro efektivní utěsnění</w:t>
            </w:r>
          </w:p>
        </w:tc>
        <w:tc>
          <w:tcPr>
            <w:tcW w:w="1276" w:type="dxa"/>
            <w:vAlign w:val="center"/>
          </w:tcPr>
          <w:p w14:paraId="4CD0EDE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42EE9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0F6B7CF3" w14:textId="77777777" w:rsidTr="00580937">
        <w:tc>
          <w:tcPr>
            <w:tcW w:w="4536" w:type="dxa"/>
          </w:tcPr>
          <w:p w14:paraId="4566A89A" w14:textId="33631FE2" w:rsidR="00E451B3"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průhledná integrovaná sací linka pro sání nad manžetou zakončená konektorem</w:t>
            </w:r>
          </w:p>
        </w:tc>
        <w:tc>
          <w:tcPr>
            <w:tcW w:w="1276" w:type="dxa"/>
            <w:vAlign w:val="center"/>
          </w:tcPr>
          <w:p w14:paraId="0E5F0094"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A5DF11"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2A857A31" w14:textId="77777777" w:rsidTr="00580937">
        <w:tc>
          <w:tcPr>
            <w:tcW w:w="4536" w:type="dxa"/>
          </w:tcPr>
          <w:p w14:paraId="40DADBCD" w14:textId="7CCADD91" w:rsidR="00E451B3"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integrovaná sací linka umožňuje plynulé sání</w:t>
            </w:r>
          </w:p>
        </w:tc>
        <w:tc>
          <w:tcPr>
            <w:tcW w:w="1276" w:type="dxa"/>
            <w:vAlign w:val="center"/>
          </w:tcPr>
          <w:p w14:paraId="272F2882"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731BF51"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39F67196" w14:textId="77777777" w:rsidTr="00580937">
        <w:tc>
          <w:tcPr>
            <w:tcW w:w="4536" w:type="dxa"/>
          </w:tcPr>
          <w:p w14:paraId="6286746F" w14:textId="0DA2F3EC" w:rsidR="00E451B3"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lastRenderedPageBreak/>
              <w:t>linka pro nafouknutí manžety opatřena balónkem a jednocestným regulačním ventilem s ochranným uzávěrem</w:t>
            </w:r>
          </w:p>
        </w:tc>
        <w:tc>
          <w:tcPr>
            <w:tcW w:w="1276" w:type="dxa"/>
            <w:vAlign w:val="center"/>
          </w:tcPr>
          <w:p w14:paraId="5B2DA316"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D657E4"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20204D9E" w14:textId="77777777" w:rsidTr="00580937">
        <w:tc>
          <w:tcPr>
            <w:tcW w:w="4536" w:type="dxa"/>
          </w:tcPr>
          <w:p w14:paraId="78C5D1D7" w14:textId="3F745C1B" w:rsidR="00E451B3"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integrovaný konektor 15 mm</w:t>
            </w:r>
          </w:p>
        </w:tc>
        <w:tc>
          <w:tcPr>
            <w:tcW w:w="1276" w:type="dxa"/>
            <w:vAlign w:val="center"/>
          </w:tcPr>
          <w:p w14:paraId="58101173"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B7A5BCA"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E451B3" w:rsidRPr="00AC0474" w14:paraId="2D77CC50" w14:textId="77777777" w:rsidTr="00580937">
        <w:tc>
          <w:tcPr>
            <w:tcW w:w="4536" w:type="dxa"/>
          </w:tcPr>
          <w:p w14:paraId="6804FC8E" w14:textId="6DFE5A90" w:rsidR="00E451B3"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 xml:space="preserve">dutý </w:t>
            </w:r>
            <w:proofErr w:type="spellStart"/>
            <w:r w:rsidRPr="0078082D">
              <w:rPr>
                <w:rFonts w:ascii="Calibri" w:hAnsi="Calibri" w:cs="Calibri"/>
                <w:sz w:val="22"/>
                <w:szCs w:val="22"/>
              </w:rPr>
              <w:t>obturator</w:t>
            </w:r>
            <w:proofErr w:type="spellEnd"/>
            <w:r w:rsidRPr="0078082D">
              <w:rPr>
                <w:rFonts w:ascii="Calibri" w:hAnsi="Calibri" w:cs="Calibri"/>
                <w:sz w:val="22"/>
                <w:szCs w:val="22"/>
              </w:rPr>
              <w:t xml:space="preserve"> se zakulacenou špičkou</w:t>
            </w:r>
          </w:p>
        </w:tc>
        <w:tc>
          <w:tcPr>
            <w:tcW w:w="1276" w:type="dxa"/>
            <w:vAlign w:val="center"/>
          </w:tcPr>
          <w:p w14:paraId="2259C375"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8AC1A3F" w14:textId="77777777" w:rsidR="00E451B3" w:rsidRPr="000645CC" w:rsidRDefault="00E451B3" w:rsidP="00E451B3">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750A1BE" w14:textId="77777777" w:rsidTr="00580937">
        <w:tc>
          <w:tcPr>
            <w:tcW w:w="4536" w:type="dxa"/>
          </w:tcPr>
          <w:p w14:paraId="7929162B" w14:textId="51E52F96" w:rsidR="007A449A" w:rsidRPr="0078082D" w:rsidRDefault="0078082D" w:rsidP="00761203">
            <w:pPr>
              <w:tabs>
                <w:tab w:val="left" w:pos="851"/>
              </w:tabs>
              <w:spacing w:line="276" w:lineRule="auto"/>
              <w:jc w:val="both"/>
              <w:rPr>
                <w:rFonts w:ascii="Calibri" w:hAnsi="Calibri" w:cs="Calibri"/>
                <w:sz w:val="22"/>
                <w:szCs w:val="22"/>
              </w:rPr>
            </w:pPr>
            <w:r w:rsidRPr="0078082D">
              <w:rPr>
                <w:rFonts w:ascii="Calibri" w:hAnsi="Calibri" w:cs="Calibri"/>
                <w:sz w:val="22"/>
                <w:szCs w:val="22"/>
              </w:rPr>
              <w:t>sterilní</w:t>
            </w:r>
          </w:p>
        </w:tc>
        <w:tc>
          <w:tcPr>
            <w:tcW w:w="1276" w:type="dxa"/>
            <w:vAlign w:val="center"/>
          </w:tcPr>
          <w:p w14:paraId="3844656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F3354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90C928E" w14:textId="77777777" w:rsidTr="00580937">
        <w:tc>
          <w:tcPr>
            <w:tcW w:w="4536" w:type="dxa"/>
          </w:tcPr>
          <w:p w14:paraId="2BBC8EAC" w14:textId="605F6F46" w:rsidR="007A449A" w:rsidRPr="0078082D" w:rsidRDefault="003A6190" w:rsidP="00761203">
            <w:pPr>
              <w:tabs>
                <w:tab w:val="left" w:pos="851"/>
              </w:tabs>
              <w:spacing w:line="276" w:lineRule="auto"/>
              <w:jc w:val="both"/>
              <w:rPr>
                <w:rFonts w:ascii="Calibri" w:hAnsi="Calibri" w:cs="Calibri"/>
                <w:sz w:val="22"/>
                <w:szCs w:val="22"/>
              </w:rPr>
            </w:pPr>
            <w:r>
              <w:rPr>
                <w:rFonts w:ascii="Calibri" w:hAnsi="Calibri" w:cs="Calibri"/>
                <w:sz w:val="22"/>
                <w:szCs w:val="22"/>
              </w:rPr>
              <w:t>návod k použití a instrukce dostupné v českém jazyce</w:t>
            </w:r>
          </w:p>
        </w:tc>
        <w:tc>
          <w:tcPr>
            <w:tcW w:w="1276" w:type="dxa"/>
            <w:vAlign w:val="center"/>
          </w:tcPr>
          <w:p w14:paraId="7BBA1B5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B80E6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EC4117" w:rsidRPr="00AC0474" w14:paraId="04855A7F" w14:textId="77777777" w:rsidTr="00580937">
        <w:tc>
          <w:tcPr>
            <w:tcW w:w="4536" w:type="dxa"/>
          </w:tcPr>
          <w:p w14:paraId="70ED8BDE" w14:textId="2C3C3023" w:rsidR="00EC4117" w:rsidRDefault="00EC4117" w:rsidP="00EC4117">
            <w:pPr>
              <w:tabs>
                <w:tab w:val="left" w:pos="851"/>
              </w:tabs>
              <w:spacing w:line="276" w:lineRule="auto"/>
              <w:jc w:val="both"/>
              <w:rPr>
                <w:rFonts w:ascii="Calibri" w:hAnsi="Calibri" w:cs="Calibri"/>
                <w:sz w:val="22"/>
                <w:szCs w:val="22"/>
              </w:rPr>
            </w:pPr>
            <w:r w:rsidRPr="00EC4117">
              <w:rPr>
                <w:rFonts w:ascii="Calibri" w:hAnsi="Calibri" w:cs="Calibri"/>
                <w:sz w:val="22"/>
                <w:szCs w:val="22"/>
              </w:rPr>
              <w:t>odnímatelný fixační krční pásek, dostatečně široký</w:t>
            </w:r>
          </w:p>
        </w:tc>
        <w:tc>
          <w:tcPr>
            <w:tcW w:w="1276" w:type="dxa"/>
            <w:vAlign w:val="center"/>
          </w:tcPr>
          <w:p w14:paraId="641BB251" w14:textId="4A5943CE" w:rsidR="00EC4117" w:rsidRPr="000645CC" w:rsidRDefault="00EC4117" w:rsidP="00EC411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594B235" w14:textId="5D8B1645" w:rsidR="00EC4117" w:rsidRPr="000645CC" w:rsidRDefault="00EC4117" w:rsidP="00EC4117">
            <w:pPr>
              <w:jc w:val="center"/>
              <w:rPr>
                <w:rFonts w:ascii="Calibri" w:hAnsi="Calibri" w:cs="Calibri"/>
                <w:color w:val="FF0000"/>
                <w:szCs w:val="20"/>
              </w:rPr>
            </w:pPr>
            <w:r w:rsidRPr="000645CC">
              <w:rPr>
                <w:rFonts w:ascii="Calibri" w:hAnsi="Calibri" w:cs="Calibri"/>
                <w:color w:val="FF0000"/>
                <w:szCs w:val="20"/>
              </w:rPr>
              <w:t>(doplní dodavatel)</w:t>
            </w:r>
          </w:p>
        </w:tc>
      </w:tr>
      <w:tr w:rsidR="00EC4117" w:rsidRPr="00AC0474" w14:paraId="354864AD" w14:textId="77777777" w:rsidTr="00580937">
        <w:tc>
          <w:tcPr>
            <w:tcW w:w="4536" w:type="dxa"/>
          </w:tcPr>
          <w:p w14:paraId="415AE74C" w14:textId="1ABD03D9" w:rsidR="00EC4117" w:rsidRDefault="00EC4117" w:rsidP="00EC4117">
            <w:pPr>
              <w:tabs>
                <w:tab w:val="left" w:pos="851"/>
              </w:tabs>
              <w:spacing w:line="276" w:lineRule="auto"/>
              <w:jc w:val="both"/>
              <w:rPr>
                <w:rFonts w:ascii="Calibri" w:hAnsi="Calibri" w:cs="Calibri"/>
                <w:sz w:val="22"/>
                <w:szCs w:val="22"/>
              </w:rPr>
            </w:pPr>
            <w:r w:rsidRPr="00EC4117">
              <w:rPr>
                <w:rFonts w:ascii="Calibri" w:hAnsi="Calibri" w:cs="Calibri"/>
                <w:sz w:val="22"/>
                <w:szCs w:val="22"/>
              </w:rPr>
              <w:t>velikost tracheostomických kanyl: 7, 8, 9, 10   </w:t>
            </w:r>
          </w:p>
        </w:tc>
        <w:tc>
          <w:tcPr>
            <w:tcW w:w="1276" w:type="dxa"/>
            <w:vAlign w:val="center"/>
          </w:tcPr>
          <w:p w14:paraId="57683470" w14:textId="3BE23D24" w:rsidR="00EC4117" w:rsidRPr="000645CC" w:rsidRDefault="00EC4117" w:rsidP="00EC411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B080C2" w14:textId="71507361" w:rsidR="00EC4117" w:rsidRPr="000645CC" w:rsidRDefault="00EC4117" w:rsidP="00EC4117">
            <w:pPr>
              <w:jc w:val="center"/>
              <w:rPr>
                <w:rFonts w:ascii="Calibri" w:hAnsi="Calibri" w:cs="Calibri"/>
                <w:color w:val="FF0000"/>
                <w:szCs w:val="20"/>
              </w:rPr>
            </w:pPr>
            <w:r w:rsidRPr="000645CC">
              <w:rPr>
                <w:rFonts w:ascii="Calibri" w:hAnsi="Calibri" w:cs="Calibri"/>
                <w:color w:val="FF0000"/>
                <w:szCs w:val="20"/>
              </w:rPr>
              <w:t>(doplní dodavatel)</w:t>
            </w:r>
          </w:p>
        </w:tc>
      </w:tr>
    </w:tbl>
    <w:p w14:paraId="425F19F8" w14:textId="77777777" w:rsidR="007A449A" w:rsidRDefault="007A449A" w:rsidP="007A449A">
      <w:pPr>
        <w:spacing w:after="160" w:line="256" w:lineRule="auto"/>
        <w:rPr>
          <w:rFonts w:ascii="Calibri" w:hAnsi="Calibri" w:cs="Calibri"/>
          <w:sz w:val="22"/>
          <w:szCs w:val="22"/>
        </w:rPr>
      </w:pPr>
    </w:p>
    <w:p w14:paraId="55740467"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4F1FA" w14:textId="77777777" w:rsidR="00CA49BB" w:rsidRDefault="00CA49BB">
      <w:r>
        <w:separator/>
      </w:r>
    </w:p>
  </w:endnote>
  <w:endnote w:type="continuationSeparator" w:id="0">
    <w:p w14:paraId="062A2ED9"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0B51A" w14:textId="77777777" w:rsidR="00D62E8D" w:rsidRPr="00D62E8D" w:rsidRDefault="00D62E8D" w:rsidP="00885D17">
    <w:pPr>
      <w:pStyle w:val="Zpat"/>
      <w:tabs>
        <w:tab w:val="clear" w:pos="4536"/>
        <w:tab w:val="left" w:pos="0"/>
      </w:tabs>
      <w:jc w:val="center"/>
      <w:rPr>
        <w:rFonts w:ascii="Calibri" w:hAnsi="Calibri" w:cs="Calibri"/>
      </w:rPr>
    </w:pPr>
  </w:p>
  <w:p w14:paraId="30005CB2"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9BDEE" w14:textId="77777777" w:rsidR="00CA49BB" w:rsidRDefault="00CA49BB">
      <w:r>
        <w:separator/>
      </w:r>
    </w:p>
  </w:footnote>
  <w:footnote w:type="continuationSeparator" w:id="0">
    <w:p w14:paraId="6E3B98B5"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DB6AE"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33FAF4B7" wp14:editId="3D8ACD19">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1ECF"/>
    <w:multiLevelType w:val="hybridMultilevel"/>
    <w:tmpl w:val="4D4A70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1"/>
  </w:num>
  <w:num w:numId="4">
    <w:abstractNumId w:val="7"/>
  </w:num>
  <w:num w:numId="5">
    <w:abstractNumId w:val="6"/>
  </w:num>
  <w:num w:numId="6">
    <w:abstractNumId w:val="8"/>
  </w:num>
  <w:num w:numId="7">
    <w:abstractNumId w:val="8"/>
  </w:num>
  <w:num w:numId="8">
    <w:abstractNumId w:val="10"/>
  </w:num>
  <w:num w:numId="9">
    <w:abstractNumId w:val="3"/>
  </w:num>
  <w:num w:numId="10">
    <w:abstractNumId w:val="5"/>
  </w:num>
  <w:num w:numId="11">
    <w:abstractNumId w:val="12"/>
  </w:num>
  <w:num w:numId="12">
    <w:abstractNumId w:val="2"/>
  </w:num>
  <w:num w:numId="13">
    <w:abstractNumId w:val="4"/>
  </w:num>
  <w:num w:numId="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A6190"/>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61203"/>
    <w:rsid w:val="0078082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11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CDBFE6"/>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24E27-05FC-4110-AF19-8DABD4DF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375</Words>
  <Characters>2216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9</cp:revision>
  <dcterms:created xsi:type="dcterms:W3CDTF">2020-09-15T10:14:00Z</dcterms:created>
  <dcterms:modified xsi:type="dcterms:W3CDTF">2021-04-16T11:26:00Z</dcterms:modified>
</cp:coreProperties>
</file>